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东营市2024年“安全生产月”安全生产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线上教育培训活动方案</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eastAsia="黑体" w:cs="黑体"/>
          <w:b w:val="0"/>
          <w:bCs/>
          <w:sz w:val="28"/>
          <w:szCs w:val="28"/>
          <w:lang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一、培训目标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为落实2024年“安全生产月”主</w:t>
      </w:r>
      <w:bookmarkStart w:id="0" w:name="_GoBack"/>
      <w:bookmarkEnd w:id="0"/>
      <w:r>
        <w:rPr>
          <w:rFonts w:hint="eastAsia" w:ascii="仿宋" w:hAnsi="仿宋" w:eastAsia="仿宋" w:cs="仿宋"/>
          <w:sz w:val="32"/>
          <w:szCs w:val="32"/>
          <w:lang w:val="en-US" w:eastAsia="zh-CN"/>
        </w:rPr>
        <w:t>题活动，现针对全市会员单位开展线上安全生产教育培训活动，旨在教育和动员全体员工切实克服松懈麻痹思想，提高安全素质，增强安全意识，为各会员单位安全生产和稳定发展奠定坚实基础。</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二、培训对象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本次培训面向</w:t>
      </w:r>
      <w:r>
        <w:rPr>
          <w:rFonts w:hint="eastAsia" w:ascii="仿宋" w:hAnsi="仿宋" w:eastAsia="仿宋" w:cs="仿宋"/>
          <w:sz w:val="32"/>
          <w:szCs w:val="32"/>
          <w:lang w:val="en-US" w:eastAsia="zh-CN"/>
        </w:rPr>
        <w:t>各会员单位</w:t>
      </w:r>
      <w:r>
        <w:rPr>
          <w:rFonts w:hint="eastAsia" w:ascii="仿宋" w:hAnsi="仿宋" w:eastAsia="仿宋" w:cs="仿宋"/>
          <w:sz w:val="32"/>
          <w:szCs w:val="32"/>
          <w:lang w:eastAsia="zh-CN"/>
        </w:rPr>
        <w:t>全体员工。</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培训内容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w:t>
      </w:r>
      <w:r>
        <w:rPr>
          <w:rFonts w:hint="eastAsia" w:ascii="仿宋" w:hAnsi="仿宋" w:eastAsia="仿宋" w:cs="仿宋"/>
          <w:b/>
          <w:bCs/>
          <w:sz w:val="32"/>
          <w:szCs w:val="32"/>
          <w:lang w:val="en-US" w:eastAsia="zh-CN"/>
        </w:rPr>
        <w:t>政策形式课</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以《安全生产法》和特殊作业安全规范为讲解重点，增强员工对生产经营单位的安全生产保障、从业人员的安全生产权利义务、特殊作业过程的重点注意事项等内容的了解，提高员工对安全生产的认识。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lang w:eastAsia="zh-CN"/>
        </w:rPr>
        <w:t>警示教育课：</w:t>
      </w:r>
      <w:r>
        <w:rPr>
          <w:rFonts w:hint="eastAsia" w:ascii="仿宋" w:hAnsi="仿宋" w:eastAsia="仿宋" w:cs="仿宋"/>
          <w:sz w:val="32"/>
          <w:szCs w:val="32"/>
          <w:lang w:val="en-US" w:eastAsia="zh-CN"/>
        </w:rPr>
        <w:t>通过典型事故案例以案说法，让员工深入了解违法违规操作带来的严重危害以及需要承担的法律后果，让员工真正吸取教训，受到警示。</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四、培训形式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在线学习</w:t>
      </w:r>
      <w:r>
        <w:rPr>
          <w:rFonts w:hint="eastAsia" w:ascii="仿宋" w:hAnsi="仿宋" w:eastAsia="仿宋" w:cs="仿宋"/>
          <w:sz w:val="32"/>
          <w:szCs w:val="32"/>
          <w:lang w:val="en-US" w:eastAsia="zh-CN"/>
        </w:rPr>
        <w:t>：员工可利用业余时间通过“东营市应急管理与安全生产协会”公众号或“东营市应急管理与安全生产协会”网站进行培训内容的学习。</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五、培训安排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学时</w:t>
      </w:r>
      <w:r>
        <w:rPr>
          <w:rFonts w:hint="eastAsia" w:ascii="仿宋" w:hAnsi="仿宋" w:eastAsia="仿宋" w:cs="仿宋"/>
          <w:b/>
          <w:bCs/>
          <w:sz w:val="32"/>
          <w:szCs w:val="32"/>
          <w:lang w:eastAsia="zh-CN"/>
        </w:rPr>
        <w:t>安排：</w:t>
      </w:r>
      <w:r>
        <w:rPr>
          <w:rFonts w:hint="eastAsia" w:ascii="仿宋" w:hAnsi="仿宋" w:eastAsia="仿宋" w:cs="仿宋"/>
          <w:sz w:val="32"/>
          <w:szCs w:val="32"/>
          <w:lang w:eastAsia="zh-CN"/>
        </w:rPr>
        <w:t>本次培训共计</w:t>
      </w:r>
      <w:r>
        <w:rPr>
          <w:rFonts w:hint="eastAsia" w:ascii="仿宋" w:hAnsi="仿宋" w:eastAsia="仿宋" w:cs="仿宋"/>
          <w:sz w:val="32"/>
          <w:szCs w:val="32"/>
          <w:lang w:val="en-US" w:eastAsia="zh-CN"/>
        </w:rPr>
        <w:t>3个学时。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kern w:val="0"/>
          <w:sz w:val="32"/>
          <w:szCs w:val="32"/>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sz w:val="32"/>
          <w:szCs w:val="32"/>
          <w:lang w:val="en-US" w:eastAsia="zh-CN"/>
        </w:rPr>
        <w:t>培训时间：</w:t>
      </w:r>
      <w:r>
        <w:rPr>
          <w:rFonts w:hint="eastAsia" w:ascii="仿宋" w:hAnsi="仿宋" w:eastAsia="仿宋" w:cs="仿宋"/>
          <w:sz w:val="32"/>
          <w:szCs w:val="32"/>
          <w:lang w:val="en-US" w:eastAsia="zh-CN"/>
        </w:rPr>
        <w:t>2024.6.1 --- 2024.6.30，各企业员工需在培训时间内完成培训内容的学习。</w:t>
      </w:r>
      <w:r>
        <w:rPr>
          <w:rFonts w:hint="eastAsia" w:ascii="仿宋" w:hAnsi="仿宋" w:eastAsia="仿宋" w:cs="仿宋"/>
          <w:color w:val="000000"/>
          <w:kern w:val="0"/>
          <w:sz w:val="32"/>
          <w:szCs w:val="32"/>
          <w:lang w:val="en-US" w:eastAsia="zh-CN" w:bidi="ar"/>
        </w:rPr>
        <w:t>具体课时安排见下表：</w:t>
      </w: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东营市</w:t>
      </w:r>
      <w:r>
        <w:rPr>
          <w:rFonts w:hint="eastAsia" w:ascii="仿宋" w:hAnsi="仿宋" w:eastAsia="仿宋" w:cs="仿宋"/>
          <w:sz w:val="28"/>
          <w:szCs w:val="28"/>
          <w:lang w:val="en-US" w:eastAsia="zh-CN"/>
        </w:rPr>
        <w:t>2024年“安全生产月”安全生产教育培训活动线上培训课时表</w:t>
      </w:r>
    </w:p>
    <w:p>
      <w:pPr>
        <w:keepNext w:val="0"/>
        <w:keepLines w:val="0"/>
        <w:widowControl/>
        <w:suppressLineNumbers w:val="0"/>
        <w:jc w:val="center"/>
        <w:rPr>
          <w:rFonts w:hint="eastAsia" w:ascii="仿宋" w:hAnsi="仿宋" w:eastAsia="仿宋" w:cs="仿宋"/>
          <w:sz w:val="28"/>
          <w:szCs w:val="28"/>
          <w:lang w:val="en-US" w:eastAsia="zh-CN"/>
        </w:rPr>
      </w:pP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754"/>
        <w:gridCol w:w="3376"/>
        <w:gridCol w:w="1414"/>
        <w:gridCol w:w="1302"/>
        <w:gridCol w:w="141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2068"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企业类型</w:t>
            </w:r>
          </w:p>
        </w:tc>
        <w:tc>
          <w:tcPr>
            <w:tcW w:w="5130" w:type="dxa"/>
            <w:gridSpan w:val="2"/>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培训内容</w:t>
            </w:r>
          </w:p>
        </w:tc>
        <w:tc>
          <w:tcPr>
            <w:tcW w:w="1414" w:type="dxa"/>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培训形式</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302" w:type="dxa"/>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培训时</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长（min）</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培训对象</w:t>
            </w:r>
          </w:p>
        </w:tc>
        <w:tc>
          <w:tcPr>
            <w:tcW w:w="2829"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68"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危化和化工生</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产企业、</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油库类及加油</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站企业</w:t>
            </w:r>
          </w:p>
        </w:tc>
        <w:tc>
          <w:tcPr>
            <w:tcW w:w="1754" w:type="dxa"/>
            <w:vMerge w:val="restart"/>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安全生产法</w:t>
            </w: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安全生产法（上）</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22</w:t>
            </w:r>
          </w:p>
        </w:tc>
        <w:tc>
          <w:tcPr>
            <w:tcW w:w="1414"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企业所有</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人员</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培训学时为3学时</w:t>
            </w:r>
          </w:p>
          <w:p>
            <w:pPr>
              <w:keepNext w:val="0"/>
              <w:keepLines w:val="0"/>
              <w:widowControl/>
              <w:suppressLineNumbers w:val="0"/>
              <w:jc w:val="center"/>
              <w:rPr>
                <w:rFonts w:hint="default"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2024.6.1 - 2024.6.30</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各企业员工需在培训时</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间内完成培训内容的学</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习。</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sz w:val="24"/>
                <w:szCs w:val="24"/>
              </w:rPr>
            </w:pPr>
          </w:p>
        </w:tc>
        <w:tc>
          <w:tcPr>
            <w:tcW w:w="1754" w:type="dxa"/>
            <w:vMerge w:val="continue"/>
            <w:vAlign w:val="center"/>
          </w:tcPr>
          <w:p>
            <w:pPr>
              <w:keepNext w:val="0"/>
              <w:keepLines w:val="0"/>
              <w:widowControl/>
              <w:suppressLineNumbers w:val="0"/>
              <w:jc w:val="center"/>
              <w:rPr>
                <w:rFonts w:hint="eastAsia" w:ascii="仿宋" w:hAnsi="仿宋" w:eastAsia="仿宋" w:cs="仿宋"/>
                <w:sz w:val="24"/>
                <w:szCs w:val="24"/>
              </w:rPr>
            </w:pP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安全生产法（中）</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23</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75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安全生产法（下）</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19</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754"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特殊作业安</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全规范</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新版 GB30871 政策解读（上）</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24</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75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新版 GB30871 政策解读（下）</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12</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754"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典型事故案</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例</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76" w:type="dxa"/>
            <w:vAlign w:val="center"/>
          </w:tcPr>
          <w:p>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河南省三门峡市河南煤气集</w:t>
            </w:r>
          </w:p>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团义马气化厂7.19 重大爆炸事故</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7</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sz w:val="24"/>
                <w:szCs w:val="24"/>
              </w:rPr>
            </w:pPr>
          </w:p>
        </w:tc>
        <w:tc>
          <w:tcPr>
            <w:tcW w:w="1754" w:type="dxa"/>
            <w:vMerge w:val="continue"/>
            <w:vAlign w:val="center"/>
          </w:tcPr>
          <w:p>
            <w:pPr>
              <w:keepNext w:val="0"/>
              <w:keepLines w:val="0"/>
              <w:widowControl/>
              <w:suppressLineNumbers w:val="0"/>
              <w:jc w:val="center"/>
              <w:rPr>
                <w:rFonts w:hint="eastAsia" w:ascii="仿宋" w:hAnsi="仿宋" w:eastAsia="仿宋" w:cs="仿宋"/>
                <w:sz w:val="24"/>
                <w:szCs w:val="24"/>
              </w:rPr>
            </w:pPr>
          </w:p>
        </w:tc>
        <w:tc>
          <w:tcPr>
            <w:tcW w:w="3376"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江苏响水3.21 特别重大爆炸事故</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068"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75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76" w:type="dxa"/>
            <w:vAlign w:val="center"/>
          </w:tcPr>
          <w:p>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江苏连云港聚鑫生物科技有</w:t>
            </w:r>
          </w:p>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限公司 12.9 重大爆炸事故</w:t>
            </w:r>
          </w:p>
        </w:tc>
        <w:tc>
          <w:tcPr>
            <w:tcW w:w="1414"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2"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w:t>
            </w:r>
          </w:p>
        </w:tc>
        <w:tc>
          <w:tcPr>
            <w:tcW w:w="1414"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829"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r>
    </w:tbl>
    <w:p/>
    <w:p/>
    <w:p/>
    <w:p/>
    <w:p/>
    <w:p/>
    <w:tbl>
      <w:tblPr>
        <w:tblStyle w:val="7"/>
        <w:tblW w:w="14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770"/>
        <w:gridCol w:w="3360"/>
        <w:gridCol w:w="1440"/>
        <w:gridCol w:w="1305"/>
        <w:gridCol w:w="142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28"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企业类型</w:t>
            </w:r>
          </w:p>
        </w:tc>
        <w:tc>
          <w:tcPr>
            <w:tcW w:w="5130" w:type="dxa"/>
            <w:gridSpan w:val="2"/>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培训内容</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培训形式</w:t>
            </w:r>
          </w:p>
        </w:tc>
        <w:tc>
          <w:tcPr>
            <w:tcW w:w="1305" w:type="dxa"/>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培训时</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长（min）</w:t>
            </w:r>
          </w:p>
        </w:tc>
        <w:tc>
          <w:tcPr>
            <w:tcW w:w="142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培训对象</w:t>
            </w:r>
          </w:p>
        </w:tc>
        <w:tc>
          <w:tcPr>
            <w:tcW w:w="279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b/>
                <w:bCs/>
                <w:color w:val="000000"/>
                <w:kern w:val="0"/>
                <w:sz w:val="24"/>
                <w:szCs w:val="24"/>
                <w:lang w:val="en-US" w:eastAsia="zh-CN" w:bidi="ar"/>
              </w:rPr>
              <w:t>培训安排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restart"/>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一般工贸企业</w:t>
            </w:r>
          </w:p>
        </w:tc>
        <w:tc>
          <w:tcPr>
            <w:tcW w:w="1770" w:type="dxa"/>
            <w:vMerge w:val="restart"/>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安全生产法</w:t>
            </w: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安全生产法（上）</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22</w:t>
            </w:r>
          </w:p>
        </w:tc>
        <w:tc>
          <w:tcPr>
            <w:tcW w:w="1425"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企业所有</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人员</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790"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培训学时为 3 学时</w:t>
            </w:r>
          </w:p>
          <w:p>
            <w:pPr>
              <w:keepNext w:val="0"/>
              <w:keepLines w:val="0"/>
              <w:widowControl/>
              <w:suppressLineNumbers w:val="0"/>
              <w:jc w:val="both"/>
              <w:rPr>
                <w:rFonts w:hint="default"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2024.6.1 - 2024.6.30</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各企业员工需在培训时间内完成培训内容的学习。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sz w:val="24"/>
                <w:szCs w:val="24"/>
              </w:rPr>
            </w:pPr>
          </w:p>
        </w:tc>
        <w:tc>
          <w:tcPr>
            <w:tcW w:w="1770" w:type="dxa"/>
            <w:vMerge w:val="continue"/>
            <w:vAlign w:val="center"/>
          </w:tcPr>
          <w:p>
            <w:pPr>
              <w:keepNext w:val="0"/>
              <w:keepLines w:val="0"/>
              <w:widowControl/>
              <w:suppressLineNumbers w:val="0"/>
              <w:jc w:val="center"/>
              <w:rPr>
                <w:rFonts w:hint="eastAsia" w:ascii="仿宋" w:hAnsi="仿宋" w:eastAsia="仿宋" w:cs="仿宋"/>
                <w:sz w:val="24"/>
                <w:szCs w:val="24"/>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安全生产法（中）</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23</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安全生产法（下）</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19</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特殊作业安</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全规范</w:t>
            </w: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新版 GB30871 政策解读（上）</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24</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新版 GB30871 政策解读（下）</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12</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restart"/>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典型事故案</w:t>
            </w: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例</w:t>
            </w:r>
          </w:p>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某工厂有限空间清理作业中毒窒息事故</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山东某电厂3·1 高空坠落事故</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10·11 塔吊外套架坠落伤害事故</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028"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177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3360" w:type="dxa"/>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安徽省宿马园区和盛广场人员触电事故</w:t>
            </w:r>
          </w:p>
        </w:tc>
        <w:tc>
          <w:tcPr>
            <w:tcW w:w="1440"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视频</w:t>
            </w:r>
          </w:p>
        </w:tc>
        <w:tc>
          <w:tcPr>
            <w:tcW w:w="130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1425"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c>
          <w:tcPr>
            <w:tcW w:w="2790" w:type="dxa"/>
            <w:vMerge w:val="continue"/>
            <w:vAlign w:val="center"/>
          </w:tcPr>
          <w:p>
            <w:pPr>
              <w:keepNext w:val="0"/>
              <w:keepLines w:val="0"/>
              <w:widowControl/>
              <w:suppressLineNumbers w:val="0"/>
              <w:jc w:val="both"/>
              <w:rPr>
                <w:rFonts w:hint="eastAsia" w:ascii="仿宋" w:hAnsi="仿宋" w:eastAsia="仿宋" w:cs="仿宋"/>
                <w:color w:val="000000"/>
                <w:kern w:val="0"/>
                <w:sz w:val="24"/>
                <w:szCs w:val="24"/>
                <w:vertAlign w:val="baseline"/>
                <w:lang w:val="en-US" w:eastAsia="zh-CN" w:bidi="ar"/>
              </w:rPr>
            </w:pPr>
          </w:p>
        </w:tc>
      </w:tr>
    </w:tbl>
    <w:p>
      <w:pPr>
        <w:keepNext w:val="0"/>
        <w:keepLines w:val="0"/>
        <w:widowControl/>
        <w:suppressLineNumbers w:val="0"/>
        <w:jc w:val="left"/>
        <w:rPr>
          <w:rFonts w:hint="default" w:ascii="仿宋" w:hAnsi="仿宋" w:eastAsia="仿宋" w:cs="仿宋"/>
          <w:color w:val="000000"/>
          <w:kern w:val="0"/>
          <w:sz w:val="28"/>
          <w:szCs w:val="28"/>
          <w:lang w:val="en-US" w:eastAsia="zh-CN" w:bidi="ar"/>
        </w:rPr>
        <w:sectPr>
          <w:pgSz w:w="16838" w:h="11906" w:orient="landscape"/>
          <w:pgMar w:top="1463" w:right="1440" w:bottom="1463" w:left="1440" w:header="851" w:footer="992" w:gutter="0"/>
          <w:pgNumType w:fmt="decimal"/>
          <w:cols w:space="425" w:num="1"/>
          <w:docGrid w:type="lines" w:linePitch="312" w:charSpace="0"/>
        </w:sectPr>
      </w:pPr>
    </w:p>
    <w:p>
      <w:pPr>
        <w:rPr>
          <w:rFonts w:hint="eastAsia"/>
          <w:sz w:val="44"/>
          <w:szCs w:val="52"/>
          <w:lang w:val="en-US" w:eastAsia="zh-CN"/>
        </w:rPr>
      </w:pPr>
      <w:r>
        <w:rPr>
          <w:rFonts w:hint="eastAsia" w:ascii="黑体" w:hAnsi="黑体" w:eastAsia="黑体" w:cs="黑体"/>
          <w:b w:val="0"/>
          <w:bCs/>
          <w:sz w:val="32"/>
          <w:szCs w:val="32"/>
          <w:lang w:val="en-US" w:eastAsia="zh-CN"/>
        </w:rPr>
        <w:t>附件：</w:t>
      </w:r>
    </w:p>
    <w:p>
      <w:pPr>
        <w:ind w:firstLine="2200" w:firstLineChars="500"/>
        <w:rPr>
          <w:rFonts w:hint="eastAsia"/>
          <w:lang w:val="en-US" w:eastAsia="zh-CN"/>
        </w:rPr>
      </w:pPr>
      <w:r>
        <w:rPr>
          <w:rFonts w:hint="eastAsia"/>
          <w:sz w:val="44"/>
          <w:szCs w:val="52"/>
          <w:lang w:val="en-US" w:eastAsia="zh-CN"/>
        </w:rPr>
        <w:t>学员简要操作说明</w:t>
      </w:r>
    </w:p>
    <w:p>
      <w:pPr>
        <w:pStyle w:val="3"/>
        <w:rPr>
          <w:rFonts w:ascii="Times New Roman"/>
          <w:sz w:val="20"/>
        </w:rPr>
      </w:pPr>
    </w:p>
    <w:p>
      <w:pPr>
        <w:pStyle w:val="2"/>
        <w:numPr>
          <w:ilvl w:val="0"/>
          <w:numId w:val="0"/>
        </w:numPr>
        <w:bidi w:val="0"/>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微信</w:t>
      </w:r>
      <w:r>
        <w:rPr>
          <w:rFonts w:hint="eastAsia" w:ascii="仿宋" w:hAnsi="仿宋" w:eastAsia="仿宋" w:cs="仿宋"/>
          <w:b/>
          <w:bCs/>
          <w:color w:val="000000" w:themeColor="text1"/>
          <w:sz w:val="32"/>
          <w:szCs w:val="32"/>
          <w:lang w:val="en-US" w:eastAsia="zh-CN"/>
          <w14:textFill>
            <w14:solidFill>
              <w14:schemeClr w14:val="tx1"/>
            </w14:solidFill>
          </w14:textFill>
        </w:rPr>
        <w:t>公众号</w:t>
      </w:r>
      <w:r>
        <w:rPr>
          <w:rFonts w:hint="eastAsia" w:ascii="仿宋" w:hAnsi="仿宋" w:eastAsia="仿宋" w:cs="仿宋"/>
          <w:b/>
          <w:bCs/>
          <w:color w:val="000000" w:themeColor="text1"/>
          <w:spacing w:val="-1"/>
          <w:sz w:val="32"/>
          <w:szCs w:val="32"/>
          <w14:textFill>
            <w14:solidFill>
              <w14:schemeClr w14:val="tx1"/>
            </w14:solidFill>
          </w14:textFill>
        </w:rPr>
        <w:t>：</w:t>
      </w:r>
    </w:p>
    <w:p>
      <w:pPr>
        <w:spacing w:before="0"/>
        <w:ind w:left="120" w:right="0" w:firstLine="0"/>
        <w:jc w:val="left"/>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1.微信公众号</w:t>
      </w:r>
    </w:p>
    <w:p>
      <w:pPr>
        <w:numPr>
          <w:ilvl w:val="0"/>
          <w:numId w:val="0"/>
        </w:num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关注微信公众号“东营市应急管理与安全生产协会”，点击下方菜单栏安全培训-安全月培训进入“全时安”小程序。</w:t>
      </w:r>
    </w:p>
    <w:p>
      <w:pPr>
        <w:pStyle w:val="3"/>
        <w:spacing w:before="4"/>
        <w:jc w:val="center"/>
      </w:pPr>
      <w:r>
        <w:drawing>
          <wp:inline distT="0" distB="0" distL="114300" distR="114300">
            <wp:extent cx="3798570" cy="4410075"/>
            <wp:effectExtent l="0" t="0" r="11430"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5"/>
                    <a:stretch>
                      <a:fillRect/>
                    </a:stretch>
                  </pic:blipFill>
                  <pic:spPr>
                    <a:xfrm>
                      <a:off x="0" y="0"/>
                      <a:ext cx="3798570" cy="4410075"/>
                    </a:xfrm>
                    <a:prstGeom prst="rect">
                      <a:avLst/>
                    </a:prstGeom>
                    <a:noFill/>
                    <a:ln>
                      <a:noFill/>
                    </a:ln>
                  </pic:spPr>
                </pic:pic>
              </a:graphicData>
            </a:graphic>
          </wp:inline>
        </w:drawing>
      </w:r>
    </w:p>
    <w:p>
      <w:pPr>
        <w:pStyle w:val="3"/>
        <w:numPr>
          <w:ilvl w:val="0"/>
          <w:numId w:val="0"/>
        </w:numPr>
        <w:spacing w:before="3"/>
        <w:ind w:leftChars="0"/>
        <w:rPr>
          <w:rFonts w:hint="eastAsia"/>
          <w:b/>
          <w:bCs/>
          <w:sz w:val="32"/>
          <w:szCs w:val="32"/>
          <w:lang w:val="en-US" w:eastAsia="zh-CN"/>
        </w:rPr>
      </w:pPr>
      <w:r>
        <w:rPr>
          <w:rFonts w:hint="eastAsia"/>
          <w:b/>
          <w:bCs/>
          <w:sz w:val="32"/>
          <w:szCs w:val="32"/>
          <w:lang w:val="en-US" w:eastAsia="zh-CN"/>
        </w:rPr>
        <w:t>2.登录账号</w:t>
      </w:r>
    </w:p>
    <w:p>
      <w:pPr>
        <w:pStyle w:val="3"/>
        <w:numPr>
          <w:ilvl w:val="0"/>
          <w:numId w:val="0"/>
        </w:numPr>
        <w:spacing w:before="3"/>
        <w:ind w:leftChars="0" w:firstLine="420" w:firstLineChars="0"/>
        <w:rPr>
          <w:rFonts w:hint="default"/>
          <w:sz w:val="32"/>
          <w:szCs w:val="32"/>
          <w:lang w:val="en-US" w:eastAsia="zh-CN"/>
        </w:rPr>
      </w:pPr>
      <w:r>
        <w:rPr>
          <w:rFonts w:hint="eastAsia"/>
          <w:sz w:val="32"/>
          <w:szCs w:val="32"/>
          <w:lang w:val="en-US" w:eastAsia="zh-CN"/>
        </w:rPr>
        <w:t>登录账号由协会统一分配，每个企业20个学员账号，然后由各单位自行分配给本单位人员使用学习。账号登录后请先修改密码，账号名单见附件。注：如果账号数量不够，请联系协会工作人员后台添加。</w:t>
      </w:r>
    </w:p>
    <w:p>
      <w:pPr>
        <w:pStyle w:val="3"/>
        <w:numPr>
          <w:ilvl w:val="0"/>
          <w:numId w:val="0"/>
        </w:numPr>
        <w:ind w:right="0" w:rightChars="0"/>
        <w:rPr>
          <w:rFonts w:hint="eastAsia" w:ascii="Times New Roman" w:eastAsia="宋体"/>
          <w:b/>
          <w:bCs/>
          <w:lang w:val="en-US" w:eastAsia="zh-CN"/>
        </w:rPr>
      </w:pPr>
    </w:p>
    <w:p>
      <w:pPr>
        <w:pStyle w:val="3"/>
        <w:numPr>
          <w:ilvl w:val="0"/>
          <w:numId w:val="0"/>
        </w:numPr>
        <w:ind w:right="0" w:rightChars="0"/>
        <w:rPr>
          <w:rFonts w:hint="eastAsia" w:ascii="仿宋" w:hAnsi="仿宋" w:eastAsia="仿宋" w:cs="仿宋"/>
          <w:sz w:val="32"/>
          <w:szCs w:val="32"/>
          <w:lang w:val="en-US" w:eastAsia="zh-CN"/>
        </w:rPr>
      </w:pPr>
      <w:r>
        <w:rPr>
          <w:rFonts w:hint="eastAsia" w:cs="仿宋"/>
          <w:b/>
          <w:bCs/>
          <w:sz w:val="32"/>
          <w:szCs w:val="32"/>
          <w:lang w:val="en-US" w:eastAsia="zh-CN"/>
        </w:rPr>
        <w:t>3.</w:t>
      </w:r>
      <w:r>
        <w:rPr>
          <w:rFonts w:hint="eastAsia" w:ascii="仿宋" w:hAnsi="仿宋" w:eastAsia="仿宋" w:cs="仿宋"/>
          <w:b/>
          <w:bCs/>
          <w:sz w:val="32"/>
          <w:szCs w:val="32"/>
          <w:lang w:val="en-US" w:eastAsia="zh-CN"/>
        </w:rPr>
        <w:t>小程序端完善信息</w:t>
      </w:r>
      <w:r>
        <w:rPr>
          <w:rFonts w:hint="eastAsia" w:ascii="仿宋" w:hAnsi="仿宋" w:eastAsia="仿宋" w:cs="仿宋"/>
          <w:sz w:val="32"/>
          <w:szCs w:val="32"/>
          <w:lang w:val="en-US" w:eastAsia="zh-CN"/>
        </w:rPr>
        <w:t>：登录后点击“我的”，然后点击“个人信息”即可完善个人相关信息。</w:t>
      </w:r>
    </w:p>
    <w:p>
      <w:pPr>
        <w:pStyle w:val="3"/>
        <w:numPr>
          <w:ilvl w:val="0"/>
          <w:numId w:val="0"/>
        </w:numPr>
        <w:ind w:right="0" w:rightChars="0"/>
        <w:rPr>
          <w:rFonts w:hint="default" w:ascii="Times New Roman" w:eastAsia="宋体"/>
          <w:lang w:val="en-US" w:eastAsia="zh-CN"/>
        </w:rPr>
      </w:pPr>
      <w:r>
        <w:drawing>
          <wp:inline distT="0" distB="0" distL="114300" distR="114300">
            <wp:extent cx="2256155" cy="4251960"/>
            <wp:effectExtent l="0" t="0" r="10795" b="1524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6"/>
                    <a:stretch>
                      <a:fillRect/>
                    </a:stretch>
                  </pic:blipFill>
                  <pic:spPr>
                    <a:xfrm>
                      <a:off x="0" y="0"/>
                      <a:ext cx="2256155" cy="42519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68855" cy="4277360"/>
            <wp:effectExtent l="0" t="0" r="17145"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a:stretch>
                      <a:fillRect/>
                    </a:stretch>
                  </pic:blipFill>
                  <pic:spPr>
                    <a:xfrm>
                      <a:off x="0" y="0"/>
                      <a:ext cx="2268855" cy="4277360"/>
                    </a:xfrm>
                    <a:prstGeom prst="rect">
                      <a:avLst/>
                    </a:prstGeom>
                    <a:noFill/>
                    <a:ln>
                      <a:noFill/>
                    </a:ln>
                  </pic:spPr>
                </pic:pic>
              </a:graphicData>
            </a:graphic>
          </wp:inline>
        </w:drawing>
      </w:r>
    </w:p>
    <w:p>
      <w:pPr>
        <w:pStyle w:val="3"/>
        <w:ind w:left="2038"/>
        <w:rPr>
          <w:color w:val="C00000"/>
          <w:sz w:val="20"/>
        </w:rPr>
      </w:pPr>
    </w:p>
    <w:p>
      <w:pPr>
        <w:bidi w:val="0"/>
        <w:rPr>
          <w:rFonts w:hint="eastAsia" w:ascii="仿宋" w:hAnsi="仿宋" w:eastAsia="仿宋" w:cs="仿宋"/>
          <w:b/>
          <w:bCs/>
          <w:sz w:val="32"/>
          <w:szCs w:val="32"/>
          <w:lang w:val="en-US" w:eastAsia="zh-CN"/>
        </w:rPr>
      </w:pPr>
    </w:p>
    <w:p>
      <w:pPr>
        <w:bidi w:val="0"/>
        <w:rPr>
          <w:rFonts w:hint="eastAsia" w:ascii="仿宋" w:hAnsi="仿宋" w:eastAsia="仿宋" w:cs="仿宋"/>
          <w:w w:val="100"/>
          <w:sz w:val="32"/>
          <w:szCs w:val="32"/>
        </w:rPr>
      </w:pPr>
      <w:r>
        <w:rPr>
          <w:rFonts w:hint="eastAsia" w:ascii="仿宋" w:hAnsi="仿宋" w:eastAsia="仿宋" w:cs="仿宋"/>
          <w:b/>
          <w:bCs/>
          <w:sz w:val="32"/>
          <w:szCs w:val="32"/>
          <w:lang w:val="en-US" w:eastAsia="zh-CN"/>
        </w:rPr>
        <w:t>4.小程序端培训</w:t>
      </w:r>
      <w:r>
        <w:rPr>
          <w:rFonts w:hint="eastAsia" w:ascii="仿宋" w:hAnsi="仿宋" w:eastAsia="仿宋" w:cs="仿宋"/>
          <w:b/>
          <w:bCs/>
          <w:sz w:val="32"/>
          <w:szCs w:val="32"/>
        </w:rPr>
        <w:t>学习</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学员登录后点击“课程培训”，然后选择培训计划，</w:t>
      </w:r>
      <w:r>
        <w:rPr>
          <w:rFonts w:hint="eastAsia" w:ascii="仿宋" w:hAnsi="仿宋" w:eastAsia="仿宋" w:cs="仿宋"/>
          <w:w w:val="100"/>
          <w:sz w:val="32"/>
          <w:szCs w:val="32"/>
        </w:rPr>
        <w:t>找</w:t>
      </w:r>
      <w:r>
        <w:rPr>
          <w:rFonts w:hint="eastAsia" w:ascii="仿宋" w:hAnsi="仿宋" w:eastAsia="仿宋" w:cs="仿宋"/>
          <w:spacing w:val="2"/>
          <w:w w:val="100"/>
          <w:sz w:val="32"/>
          <w:szCs w:val="32"/>
        </w:rPr>
        <w:t>到</w:t>
      </w:r>
      <w:r>
        <w:rPr>
          <w:rFonts w:hint="eastAsia" w:ascii="仿宋" w:hAnsi="仿宋" w:eastAsia="仿宋" w:cs="仿宋"/>
          <w:w w:val="100"/>
          <w:sz w:val="32"/>
          <w:szCs w:val="32"/>
        </w:rPr>
        <w:t>想学</w:t>
      </w:r>
      <w:r>
        <w:rPr>
          <w:rFonts w:hint="eastAsia" w:ascii="仿宋" w:hAnsi="仿宋" w:eastAsia="仿宋" w:cs="仿宋"/>
          <w:spacing w:val="2"/>
          <w:w w:val="100"/>
          <w:sz w:val="32"/>
          <w:szCs w:val="32"/>
        </w:rPr>
        <w:t>习</w:t>
      </w:r>
      <w:r>
        <w:rPr>
          <w:rFonts w:hint="eastAsia" w:ascii="仿宋" w:hAnsi="仿宋" w:eastAsia="仿宋" w:cs="仿宋"/>
          <w:w w:val="100"/>
          <w:sz w:val="32"/>
          <w:szCs w:val="32"/>
        </w:rPr>
        <w:t>的</w:t>
      </w:r>
      <w:r>
        <w:rPr>
          <w:rFonts w:hint="eastAsia" w:ascii="仿宋" w:hAnsi="仿宋" w:eastAsia="仿宋" w:cs="仿宋"/>
          <w:w w:val="100"/>
          <w:sz w:val="32"/>
          <w:szCs w:val="32"/>
          <w:lang w:val="en-US" w:eastAsia="zh-CN"/>
        </w:rPr>
        <w:t>培训计划</w:t>
      </w:r>
      <w:r>
        <w:rPr>
          <w:rFonts w:hint="eastAsia" w:ascii="仿宋" w:hAnsi="仿宋" w:eastAsia="仿宋" w:cs="仿宋"/>
          <w:w w:val="100"/>
          <w:sz w:val="32"/>
          <w:szCs w:val="32"/>
        </w:rPr>
        <w:t>，</w:t>
      </w:r>
      <w:r>
        <w:rPr>
          <w:rFonts w:hint="eastAsia" w:ascii="仿宋" w:hAnsi="仿宋" w:eastAsia="仿宋" w:cs="仿宋"/>
          <w:spacing w:val="2"/>
          <w:w w:val="100"/>
          <w:sz w:val="32"/>
          <w:szCs w:val="32"/>
        </w:rPr>
        <w:t>点</w:t>
      </w:r>
      <w:r>
        <w:rPr>
          <w:rFonts w:hint="eastAsia" w:ascii="仿宋" w:hAnsi="仿宋" w:eastAsia="仿宋" w:cs="仿宋"/>
          <w:w w:val="100"/>
          <w:sz w:val="32"/>
          <w:szCs w:val="32"/>
        </w:rPr>
        <w:t>击</w:t>
      </w:r>
      <w:r>
        <w:rPr>
          <w:rFonts w:hint="eastAsia" w:ascii="仿宋" w:hAnsi="仿宋" w:eastAsia="仿宋" w:cs="仿宋"/>
          <w:w w:val="100"/>
          <w:sz w:val="32"/>
          <w:szCs w:val="32"/>
          <w:lang w:val="en-US" w:eastAsia="zh-CN"/>
        </w:rPr>
        <w:t>培训计划名称</w:t>
      </w:r>
      <w:r>
        <w:rPr>
          <w:rFonts w:hint="eastAsia" w:ascii="仿宋" w:hAnsi="仿宋" w:eastAsia="仿宋" w:cs="仿宋"/>
          <w:w w:val="100"/>
          <w:sz w:val="32"/>
          <w:szCs w:val="32"/>
        </w:rPr>
        <w:t>，</w:t>
      </w:r>
      <w:r>
        <w:rPr>
          <w:rFonts w:hint="eastAsia" w:ascii="仿宋" w:hAnsi="仿宋" w:eastAsia="仿宋" w:cs="仿宋"/>
          <w:spacing w:val="2"/>
          <w:w w:val="100"/>
          <w:sz w:val="32"/>
          <w:szCs w:val="32"/>
        </w:rPr>
        <w:t>即</w:t>
      </w:r>
      <w:r>
        <w:rPr>
          <w:rFonts w:hint="eastAsia" w:ascii="仿宋" w:hAnsi="仿宋" w:eastAsia="仿宋" w:cs="仿宋"/>
          <w:spacing w:val="2"/>
          <w:w w:val="100"/>
          <w:sz w:val="32"/>
          <w:szCs w:val="32"/>
          <w:lang w:val="en-US" w:eastAsia="zh-CN"/>
        </w:rPr>
        <w:t>可查看培训计划内容</w:t>
      </w:r>
      <w:r>
        <w:rPr>
          <w:rFonts w:hint="eastAsia" w:ascii="仿宋" w:hAnsi="仿宋" w:eastAsia="仿宋" w:cs="仿宋"/>
          <w:w w:val="100"/>
          <w:sz w:val="32"/>
          <w:szCs w:val="32"/>
        </w:rPr>
        <w:t>，</w:t>
      </w:r>
      <w:r>
        <w:rPr>
          <w:rFonts w:hint="eastAsia" w:ascii="仿宋" w:hAnsi="仿宋" w:eastAsia="仿宋" w:cs="仿宋"/>
          <w:spacing w:val="2"/>
          <w:w w:val="100"/>
          <w:sz w:val="32"/>
          <w:szCs w:val="32"/>
        </w:rPr>
        <w:t>点</w:t>
      </w:r>
      <w:r>
        <w:rPr>
          <w:rFonts w:hint="eastAsia" w:ascii="仿宋" w:hAnsi="仿宋" w:eastAsia="仿宋" w:cs="仿宋"/>
          <w:w w:val="100"/>
          <w:sz w:val="32"/>
          <w:szCs w:val="32"/>
        </w:rPr>
        <w:t>击对</w:t>
      </w:r>
      <w:r>
        <w:rPr>
          <w:rFonts w:hint="eastAsia" w:ascii="仿宋" w:hAnsi="仿宋" w:eastAsia="仿宋" w:cs="仿宋"/>
          <w:spacing w:val="2"/>
          <w:w w:val="100"/>
          <w:sz w:val="32"/>
          <w:szCs w:val="32"/>
        </w:rPr>
        <w:t>应</w:t>
      </w:r>
      <w:r>
        <w:rPr>
          <w:rFonts w:hint="eastAsia" w:ascii="仿宋" w:hAnsi="仿宋" w:eastAsia="仿宋" w:cs="仿宋"/>
          <w:w w:val="100"/>
          <w:sz w:val="32"/>
          <w:szCs w:val="32"/>
          <w:lang w:val="en-US" w:eastAsia="zh-CN"/>
        </w:rPr>
        <w:t>培训</w:t>
      </w:r>
      <w:r>
        <w:rPr>
          <w:rFonts w:hint="eastAsia" w:ascii="仿宋" w:hAnsi="仿宋" w:eastAsia="仿宋" w:cs="仿宋"/>
          <w:w w:val="100"/>
          <w:sz w:val="32"/>
          <w:szCs w:val="32"/>
        </w:rPr>
        <w:t>内容</w:t>
      </w:r>
      <w:r>
        <w:rPr>
          <w:rFonts w:hint="eastAsia" w:ascii="仿宋" w:hAnsi="仿宋" w:eastAsia="仿宋" w:cs="仿宋"/>
          <w:w w:val="100"/>
          <w:sz w:val="32"/>
          <w:szCs w:val="32"/>
          <w:lang w:val="en-US" w:eastAsia="zh-CN"/>
        </w:rPr>
        <w:t>学习即可</w:t>
      </w:r>
      <w:r>
        <w:rPr>
          <w:rFonts w:hint="eastAsia" w:ascii="仿宋" w:hAnsi="仿宋" w:eastAsia="仿宋" w:cs="仿宋"/>
          <w:w w:val="100"/>
          <w:sz w:val="32"/>
          <w:szCs w:val="32"/>
        </w:rPr>
        <w:t>。</w:t>
      </w:r>
    </w:p>
    <w:p>
      <w:pPr>
        <w:pStyle w:val="3"/>
        <w:spacing w:line="408" w:lineRule="auto"/>
        <w:ind w:right="111"/>
        <w:jc w:val="both"/>
        <w:rPr>
          <w:rFonts w:hint="eastAsia"/>
          <w:lang w:val="en-US" w:eastAsia="zh-CN"/>
        </w:rPr>
      </w:pPr>
    </w:p>
    <w:p>
      <w:pPr>
        <w:pStyle w:val="3"/>
        <w:spacing w:line="408" w:lineRule="auto"/>
        <w:ind w:right="111"/>
        <w:jc w:val="both"/>
        <w:rPr>
          <w:rFonts w:hint="eastAsia"/>
          <w:lang w:val="en-US" w:eastAsia="zh-CN"/>
        </w:rPr>
      </w:pPr>
    </w:p>
    <w:p>
      <w:pPr>
        <w:pStyle w:val="3"/>
        <w:spacing w:line="408" w:lineRule="auto"/>
        <w:ind w:right="111"/>
        <w:jc w:val="both"/>
      </w:pPr>
      <w:r>
        <w:drawing>
          <wp:inline distT="0" distB="0" distL="114300" distR="114300">
            <wp:extent cx="2637790" cy="4972685"/>
            <wp:effectExtent l="0" t="0" r="10160" b="1841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8"/>
                    <a:stretch>
                      <a:fillRect/>
                    </a:stretch>
                  </pic:blipFill>
                  <pic:spPr>
                    <a:xfrm>
                      <a:off x="0" y="0"/>
                      <a:ext cx="2637790" cy="4972685"/>
                    </a:xfrm>
                    <a:prstGeom prst="rect">
                      <a:avLst/>
                    </a:prstGeom>
                    <a:noFill/>
                    <a:ln>
                      <a:noFill/>
                    </a:ln>
                  </pic:spPr>
                </pic:pic>
              </a:graphicData>
            </a:graphic>
          </wp:inline>
        </w:drawing>
      </w:r>
      <w:r>
        <w:drawing>
          <wp:inline distT="0" distB="0" distL="114300" distR="114300">
            <wp:extent cx="2511425" cy="4735195"/>
            <wp:effectExtent l="0" t="0" r="3175" b="825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9"/>
                    <a:stretch>
                      <a:fillRect/>
                    </a:stretch>
                  </pic:blipFill>
                  <pic:spPr>
                    <a:xfrm>
                      <a:off x="0" y="0"/>
                      <a:ext cx="2511425" cy="4735195"/>
                    </a:xfrm>
                    <a:prstGeom prst="rect">
                      <a:avLst/>
                    </a:prstGeom>
                    <a:noFill/>
                    <a:ln>
                      <a:noFill/>
                    </a:ln>
                  </pic:spPr>
                </pic:pic>
              </a:graphicData>
            </a:graphic>
          </wp:inline>
        </w:drawing>
      </w:r>
    </w:p>
    <w:p>
      <w:pPr>
        <w:pStyle w:val="3"/>
        <w:spacing w:line="408" w:lineRule="auto"/>
        <w:ind w:right="111"/>
        <w:jc w:val="both"/>
      </w:pPr>
      <w:r>
        <w:drawing>
          <wp:inline distT="0" distB="0" distL="114300" distR="114300">
            <wp:extent cx="2555240" cy="4814570"/>
            <wp:effectExtent l="0" t="0" r="16510" b="508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0"/>
                    <a:stretch>
                      <a:fillRect/>
                    </a:stretch>
                  </pic:blipFill>
                  <pic:spPr>
                    <a:xfrm>
                      <a:off x="0" y="0"/>
                      <a:ext cx="2555240" cy="4814570"/>
                    </a:xfrm>
                    <a:prstGeom prst="rect">
                      <a:avLst/>
                    </a:prstGeom>
                    <a:noFill/>
                    <a:ln>
                      <a:noFill/>
                    </a:ln>
                  </pic:spPr>
                </pic:pic>
              </a:graphicData>
            </a:graphic>
          </wp:inline>
        </w:drawing>
      </w:r>
    </w:p>
    <w:p>
      <w:pPr>
        <w:pStyle w:val="3"/>
        <w:spacing w:before="11"/>
        <w:rPr>
          <w:color w:val="C00000"/>
          <w:sz w:val="12"/>
        </w:rPr>
      </w:pPr>
    </w:p>
    <w:p>
      <w:pPr>
        <w:spacing w:before="15"/>
        <w:ind w:left="120" w:right="0" w:firstLine="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PC 网页浏览器：</w:t>
      </w:r>
    </w:p>
    <w:p>
      <w:pPr>
        <w:spacing w:before="15"/>
        <w:ind w:left="120" w:right="0" w:firstLine="0"/>
        <w:jc w:val="left"/>
        <w:rPr>
          <w:rFonts w:hint="eastAsia" w:ascii="仿宋" w:hAnsi="仿宋" w:eastAsia="仿宋" w:cs="仿宋"/>
          <w:b/>
          <w:bCs/>
          <w:color w:val="000000" w:themeColor="text1"/>
          <w:sz w:val="32"/>
          <w:szCs w:val="32"/>
          <w14:textFill>
            <w14:solidFill>
              <w14:schemeClr w14:val="tx1"/>
            </w14:solidFill>
          </w14:textFill>
        </w:rPr>
      </w:pPr>
    </w:p>
    <w:p>
      <w:pPr>
        <w:spacing w:before="15"/>
        <w:ind w:left="120" w:right="0" w:firstLine="0"/>
        <w:jc w:val="left"/>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b/>
          <w:bCs/>
          <w:color w:val="000000" w:themeColor="text1"/>
          <w:sz w:val="32"/>
          <w:szCs w:val="32"/>
          <w:u w:val="none"/>
          <w:lang w:val="en-US" w:eastAsia="zh-CN"/>
          <w14:textFill>
            <w14:solidFill>
              <w14:schemeClr w14:val="tx1"/>
            </w14:solidFill>
          </w14:textFill>
        </w:rPr>
        <w:t>1.</w:t>
      </w:r>
      <w:r>
        <w:rPr>
          <w:rFonts w:hint="eastAsia" w:ascii="仿宋" w:hAnsi="仿宋" w:eastAsia="仿宋" w:cs="仿宋"/>
          <w:b/>
          <w:bCs/>
          <w:color w:val="000000" w:themeColor="text1"/>
          <w:sz w:val="32"/>
          <w:szCs w:val="32"/>
          <w:u w:val="none"/>
          <w14:textFill>
            <w14:solidFill>
              <w14:schemeClr w14:val="tx1"/>
            </w14:solidFill>
          </w14:textFill>
        </w:rPr>
        <w:fldChar w:fldCharType="begin"/>
      </w:r>
      <w:r>
        <w:rPr>
          <w:rFonts w:hint="eastAsia" w:ascii="仿宋" w:hAnsi="仿宋" w:eastAsia="仿宋" w:cs="仿宋"/>
          <w:b/>
          <w:bCs/>
          <w:color w:val="000000" w:themeColor="text1"/>
          <w:sz w:val="32"/>
          <w:szCs w:val="32"/>
          <w:u w:val="none"/>
          <w14:textFill>
            <w14:solidFill>
              <w14:schemeClr w14:val="tx1"/>
            </w14:solidFill>
          </w14:textFill>
        </w:rPr>
        <w:instrText xml:space="preserve"> HYPERLINK "http://dy-safety.org.cn/" </w:instrText>
      </w:r>
      <w:r>
        <w:rPr>
          <w:rFonts w:hint="eastAsia" w:ascii="仿宋" w:hAnsi="仿宋" w:eastAsia="仿宋" w:cs="仿宋"/>
          <w:b/>
          <w:bCs/>
          <w:color w:val="000000" w:themeColor="text1"/>
          <w:sz w:val="32"/>
          <w:szCs w:val="32"/>
          <w:u w:val="none"/>
          <w14:textFill>
            <w14:solidFill>
              <w14:schemeClr w14:val="tx1"/>
            </w14:solidFill>
          </w14:textFill>
        </w:rPr>
        <w:fldChar w:fldCharType="separate"/>
      </w:r>
      <w:r>
        <w:rPr>
          <w:rStyle w:val="9"/>
          <w:rFonts w:hint="eastAsia" w:ascii="仿宋" w:hAnsi="仿宋" w:eastAsia="仿宋" w:cs="仿宋"/>
          <w:b/>
          <w:bCs/>
          <w:color w:val="000000" w:themeColor="text1"/>
          <w:sz w:val="32"/>
          <w:szCs w:val="32"/>
          <w:u w:val="none"/>
          <w14:textFill>
            <w14:solidFill>
              <w14:schemeClr w14:val="tx1"/>
            </w14:solidFill>
          </w14:textFill>
        </w:rPr>
        <w:t>东营市应急管理与安全生产协会</w:t>
      </w:r>
      <w:r>
        <w:rPr>
          <w:rStyle w:val="9"/>
          <w:rFonts w:hint="eastAsia" w:ascii="仿宋" w:hAnsi="仿宋" w:eastAsia="仿宋" w:cs="仿宋"/>
          <w:b/>
          <w:bCs/>
          <w:color w:val="000000" w:themeColor="text1"/>
          <w:sz w:val="32"/>
          <w:szCs w:val="32"/>
          <w:u w:val="none"/>
          <w:lang w:val="en-US" w:eastAsia="zh-CN"/>
          <w14:textFill>
            <w14:solidFill>
              <w14:schemeClr w14:val="tx1"/>
            </w14:solidFill>
          </w14:textFill>
        </w:rPr>
        <w:t>官方网站</w:t>
      </w:r>
      <w:r>
        <w:rPr>
          <w:rStyle w:val="9"/>
          <w:rFonts w:hint="eastAsia" w:ascii="仿宋" w:hAnsi="仿宋" w:eastAsia="仿宋" w:cs="仿宋"/>
          <w:b/>
          <w:bCs/>
          <w:color w:val="000000" w:themeColor="text1"/>
          <w:sz w:val="32"/>
          <w:szCs w:val="32"/>
          <w:u w:val="none"/>
          <w14:textFill>
            <w14:solidFill>
              <w14:schemeClr w14:val="tx1"/>
            </w14:solidFill>
          </w14:textFill>
        </w:rPr>
        <w:t>(</w:t>
      </w:r>
      <w:r>
        <w:rPr>
          <w:rStyle w:val="9"/>
          <w:rFonts w:hint="eastAsia" w:ascii="仿宋" w:hAnsi="仿宋" w:eastAsia="仿宋" w:cs="仿宋"/>
          <w:b/>
          <w:bCs/>
          <w:color w:val="000000" w:themeColor="text1"/>
          <w:sz w:val="32"/>
          <w:szCs w:val="32"/>
          <w:u w:val="none"/>
          <w:lang w:val="en-US" w:eastAsia="zh-CN"/>
          <w14:textFill>
            <w14:solidFill>
              <w14:schemeClr w14:val="tx1"/>
            </w14:solidFill>
          </w14:textFill>
        </w:rPr>
        <w:t>http://</w:t>
      </w:r>
      <w:r>
        <w:rPr>
          <w:rStyle w:val="9"/>
          <w:rFonts w:hint="eastAsia" w:ascii="仿宋" w:hAnsi="仿宋" w:eastAsia="仿宋" w:cs="仿宋"/>
          <w:b/>
          <w:bCs/>
          <w:color w:val="000000" w:themeColor="text1"/>
          <w:sz w:val="32"/>
          <w:szCs w:val="32"/>
          <w:u w:val="none"/>
          <w14:textFill>
            <w14:solidFill>
              <w14:schemeClr w14:val="tx1"/>
            </w14:solidFill>
          </w14:textFill>
        </w:rPr>
        <w:t>dy-safety.org.cn)</w:t>
      </w:r>
      <w:r>
        <w:rPr>
          <w:rFonts w:hint="eastAsia" w:ascii="仿宋" w:hAnsi="仿宋" w:eastAsia="仿宋" w:cs="仿宋"/>
          <w:b/>
          <w:bCs/>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u w:val="none"/>
          <w:lang w:eastAsia="zh-CN"/>
          <w14:textFill>
            <w14:solidFill>
              <w14:schemeClr w14:val="tx1"/>
            </w14:solidFill>
          </w14:textFill>
        </w:rPr>
        <w:t>，</w:t>
      </w:r>
    </w:p>
    <w:p>
      <w:pPr>
        <w:spacing w:before="15"/>
        <w:ind w:left="120" w:right="0" w:firstLine="0"/>
        <w:jc w:val="left"/>
        <w:rPr>
          <w:rFonts w:hint="eastAsia" w:ascii="仿宋" w:hAnsi="仿宋" w:eastAsia="仿宋" w:cs="仿宋"/>
          <w:color w:val="C00000"/>
          <w:sz w:val="32"/>
          <w:szCs w:val="32"/>
          <w:lang w:val="en-US" w:eastAsia="zh-CN"/>
        </w:rPr>
      </w:pPr>
      <w:r>
        <w:rPr>
          <w:rFonts w:hint="eastAsia" w:ascii="仿宋" w:hAnsi="仿宋" w:eastAsia="仿宋" w:cs="仿宋"/>
          <w:color w:val="000000" w:themeColor="text1"/>
          <w:sz w:val="32"/>
          <w:szCs w:val="32"/>
          <w:u w:val="none"/>
          <w:lang w:val="en-US" w:eastAsia="zh-CN"/>
          <w14:textFill>
            <w14:solidFill>
              <w14:schemeClr w14:val="tx1"/>
            </w14:solidFill>
          </w14:textFill>
        </w:rPr>
        <w:t>通过</w:t>
      </w:r>
      <w:r>
        <w:rPr>
          <w:rFonts w:hint="eastAsia" w:ascii="仿宋" w:hAnsi="仿宋" w:eastAsia="仿宋" w:cs="仿宋"/>
          <w:color w:val="000000" w:themeColor="text1"/>
          <w:sz w:val="32"/>
          <w:szCs w:val="32"/>
          <w:lang w:val="en-US" w:eastAsia="zh-CN"/>
          <w14:textFill>
            <w14:solidFill>
              <w14:schemeClr w14:val="tx1"/>
            </w14:solidFill>
          </w14:textFill>
        </w:rPr>
        <w:t>导航栏会员之家-安全月活动或者网页滚动弹窗“东营市2024年“安全生产月”安全生产线上教育培训活动入口”进入。</w:t>
      </w:r>
      <w:r>
        <w:drawing>
          <wp:inline distT="0" distB="0" distL="114300" distR="114300">
            <wp:extent cx="5266690" cy="2743200"/>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66690" cy="2743200"/>
                    </a:xfrm>
                    <a:prstGeom prst="rect">
                      <a:avLst/>
                    </a:prstGeom>
                    <a:noFill/>
                    <a:ln>
                      <a:noFill/>
                    </a:ln>
                  </pic:spPr>
                </pic:pic>
              </a:graphicData>
            </a:graphic>
          </wp:inline>
        </w:drawing>
      </w:r>
    </w:p>
    <w:p>
      <w:pPr>
        <w:pStyle w:val="3"/>
        <w:numPr>
          <w:ilvl w:val="0"/>
          <w:numId w:val="0"/>
        </w:numPr>
        <w:spacing w:before="3"/>
        <w:ind w:leftChars="0"/>
        <w:rPr>
          <w:rFonts w:hint="eastAsia"/>
          <w:b/>
          <w:bCs/>
          <w:sz w:val="32"/>
          <w:szCs w:val="32"/>
          <w:lang w:val="en-US" w:eastAsia="zh-CN"/>
        </w:rPr>
      </w:pPr>
      <w:r>
        <w:rPr>
          <w:rFonts w:hint="eastAsia"/>
          <w:b/>
          <w:bCs/>
          <w:sz w:val="32"/>
          <w:szCs w:val="32"/>
          <w:lang w:val="en-US" w:eastAsia="zh-CN"/>
        </w:rPr>
        <w:t>2.登录账号</w:t>
      </w:r>
    </w:p>
    <w:p>
      <w:pPr>
        <w:pStyle w:val="3"/>
        <w:numPr>
          <w:ilvl w:val="0"/>
          <w:numId w:val="0"/>
        </w:numPr>
        <w:spacing w:before="3"/>
        <w:ind w:leftChars="0" w:firstLine="420" w:firstLineChars="0"/>
        <w:rPr>
          <w:rFonts w:hint="default"/>
          <w:sz w:val="32"/>
          <w:szCs w:val="32"/>
          <w:lang w:val="en-US" w:eastAsia="zh-CN"/>
        </w:rPr>
      </w:pPr>
      <w:r>
        <w:rPr>
          <w:rFonts w:hint="eastAsia"/>
          <w:sz w:val="32"/>
          <w:szCs w:val="32"/>
          <w:lang w:val="en-US" w:eastAsia="zh-CN"/>
        </w:rPr>
        <w:t>登录账号由协会统一分配，每个企业20个学员账号，然后由各单位自行分配给本单位人员使用学习。账号登录后请先修改密码，账号名单见附件。注：如果账号数量不够，请联系协会工作人员后台添加。</w:t>
      </w:r>
    </w:p>
    <w:p>
      <w:pPr>
        <w:pStyle w:val="2"/>
        <w:bidi w:val="0"/>
        <w:rPr>
          <w:rFonts w:hint="eastAsia" w:ascii="仿宋" w:hAnsi="仿宋" w:eastAsia="仿宋" w:cs="仿宋"/>
          <w:b w:val="0"/>
          <w:bCs/>
          <w:sz w:val="32"/>
          <w:szCs w:val="32"/>
          <w:lang w:val="en-US" w:eastAsia="zh-CN"/>
        </w:rPr>
      </w:pPr>
      <w:r>
        <w:rPr>
          <w:rFonts w:hint="eastAsia" w:ascii="仿宋" w:hAnsi="仿宋" w:eastAsia="仿宋" w:cs="仿宋"/>
          <w:b/>
          <w:bCs/>
          <w:sz w:val="32"/>
          <w:szCs w:val="32"/>
          <w:lang w:val="en-US" w:eastAsia="zh-CN"/>
        </w:rPr>
        <w:t>3.PC端完善信息：</w:t>
      </w:r>
      <w:r>
        <w:rPr>
          <w:rFonts w:hint="eastAsia" w:ascii="仿宋" w:hAnsi="仿宋" w:eastAsia="仿宋" w:cs="仿宋"/>
          <w:b w:val="0"/>
          <w:bCs/>
          <w:sz w:val="32"/>
          <w:szCs w:val="32"/>
          <w:lang w:val="en-US" w:eastAsia="zh-CN"/>
        </w:rPr>
        <w:t>登录后点击左上角“个人中心”，然后点击“完善信息”按钮即可完善个人信息。</w:t>
      </w:r>
    </w:p>
    <w:p>
      <w:pPr>
        <w:pStyle w:val="3"/>
        <w:numPr>
          <w:ilvl w:val="0"/>
          <w:numId w:val="0"/>
        </w:numPr>
        <w:ind w:right="0" w:rightChars="0"/>
      </w:pPr>
      <w:r>
        <w:drawing>
          <wp:inline distT="0" distB="0" distL="114300" distR="114300">
            <wp:extent cx="5266690" cy="2573020"/>
            <wp:effectExtent l="0" t="0" r="1016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66690" cy="2573020"/>
                    </a:xfrm>
                    <a:prstGeom prst="rect">
                      <a:avLst/>
                    </a:prstGeom>
                    <a:noFill/>
                    <a:ln>
                      <a:noFill/>
                    </a:ln>
                  </pic:spPr>
                </pic:pic>
              </a:graphicData>
            </a:graphic>
          </wp:inline>
        </w:drawing>
      </w:r>
    </w:p>
    <w:p>
      <w:pPr>
        <w:pStyle w:val="3"/>
        <w:numPr>
          <w:ilvl w:val="0"/>
          <w:numId w:val="0"/>
        </w:numPr>
        <w:ind w:right="0" w:rightChars="0"/>
        <w:rPr>
          <w:rFonts w:hint="eastAsia"/>
          <w:lang w:val="en-US" w:eastAsia="zh-CN"/>
        </w:rPr>
      </w:pPr>
      <w:r>
        <w:drawing>
          <wp:inline distT="0" distB="0" distL="114300" distR="114300">
            <wp:extent cx="5413375" cy="2954655"/>
            <wp:effectExtent l="0" t="0" r="15875" b="1714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3"/>
                    <a:stretch>
                      <a:fillRect/>
                    </a:stretch>
                  </pic:blipFill>
                  <pic:spPr>
                    <a:xfrm>
                      <a:off x="0" y="0"/>
                      <a:ext cx="5413375" cy="2954655"/>
                    </a:xfrm>
                    <a:prstGeom prst="rect">
                      <a:avLst/>
                    </a:prstGeom>
                    <a:noFill/>
                    <a:ln>
                      <a:noFill/>
                    </a:ln>
                  </pic:spPr>
                </pic:pic>
              </a:graphicData>
            </a:graphic>
          </wp:inline>
        </w:drawing>
      </w:r>
    </w:p>
    <w:p>
      <w:pPr>
        <w:pStyle w:val="3"/>
        <w:spacing w:before="6"/>
        <w:rPr>
          <w:rFonts w:hint="default" w:eastAsia="仿宋"/>
          <w:sz w:val="34"/>
          <w:lang w:val="en-US" w:eastAsia="zh-CN"/>
        </w:rPr>
      </w:pPr>
    </w:p>
    <w:p>
      <w:pPr>
        <w:pStyle w:val="2"/>
        <w:bidi w:val="0"/>
        <w:rPr>
          <w:rFonts w:hint="eastAsia" w:ascii="仿宋" w:hAnsi="仿宋" w:eastAsia="仿宋" w:cs="仿宋"/>
          <w:b w:val="0"/>
          <w:bCs/>
          <w:w w:val="100"/>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PC端培训</w:t>
      </w:r>
      <w:r>
        <w:rPr>
          <w:rFonts w:hint="eastAsia" w:ascii="仿宋" w:hAnsi="仿宋" w:eastAsia="仿宋" w:cs="仿宋"/>
          <w:b/>
          <w:bCs/>
          <w:sz w:val="32"/>
          <w:szCs w:val="32"/>
        </w:rPr>
        <w:t>学习</w:t>
      </w:r>
      <w:r>
        <w:rPr>
          <w:rFonts w:hint="eastAsia" w:ascii="仿宋" w:hAnsi="仿宋" w:eastAsia="仿宋" w:cs="仿宋"/>
          <w:b/>
          <w:bCs/>
          <w:sz w:val="32"/>
          <w:szCs w:val="32"/>
          <w:lang w:eastAsia="zh-CN"/>
        </w:rPr>
        <w:t>：</w:t>
      </w:r>
      <w:r>
        <w:rPr>
          <w:rFonts w:hint="eastAsia" w:ascii="仿宋" w:hAnsi="仿宋" w:eastAsia="仿宋" w:cs="仿宋"/>
          <w:b w:val="0"/>
          <w:bCs/>
          <w:spacing w:val="2"/>
          <w:w w:val="100"/>
          <w:sz w:val="32"/>
          <w:szCs w:val="32"/>
        </w:rPr>
        <w:t>学</w:t>
      </w:r>
      <w:r>
        <w:rPr>
          <w:rFonts w:hint="eastAsia" w:ascii="仿宋" w:hAnsi="仿宋" w:eastAsia="仿宋" w:cs="仿宋"/>
          <w:b w:val="0"/>
          <w:bCs/>
          <w:w w:val="100"/>
          <w:sz w:val="32"/>
          <w:szCs w:val="32"/>
        </w:rPr>
        <w:t>员</w:t>
      </w:r>
      <w:r>
        <w:rPr>
          <w:rFonts w:hint="eastAsia" w:ascii="仿宋" w:hAnsi="仿宋" w:eastAsia="仿宋" w:cs="仿宋"/>
          <w:b w:val="0"/>
          <w:bCs/>
          <w:spacing w:val="2"/>
          <w:w w:val="100"/>
          <w:sz w:val="32"/>
          <w:szCs w:val="32"/>
        </w:rPr>
        <w:t>进</w:t>
      </w:r>
      <w:r>
        <w:rPr>
          <w:rFonts w:hint="eastAsia" w:ascii="仿宋" w:hAnsi="仿宋" w:eastAsia="仿宋" w:cs="仿宋"/>
          <w:b w:val="0"/>
          <w:bCs/>
          <w:w w:val="100"/>
          <w:sz w:val="32"/>
          <w:szCs w:val="32"/>
        </w:rPr>
        <w:t>入学</w:t>
      </w:r>
      <w:r>
        <w:rPr>
          <w:rFonts w:hint="eastAsia" w:ascii="仿宋" w:hAnsi="仿宋" w:eastAsia="仿宋" w:cs="仿宋"/>
          <w:b w:val="0"/>
          <w:bCs/>
          <w:spacing w:val="2"/>
          <w:w w:val="100"/>
          <w:sz w:val="32"/>
          <w:szCs w:val="32"/>
        </w:rPr>
        <w:t>习</w:t>
      </w:r>
      <w:r>
        <w:rPr>
          <w:rFonts w:hint="eastAsia" w:ascii="仿宋" w:hAnsi="仿宋" w:eastAsia="仿宋" w:cs="仿宋"/>
          <w:b w:val="0"/>
          <w:bCs/>
          <w:w w:val="100"/>
          <w:sz w:val="32"/>
          <w:szCs w:val="32"/>
        </w:rPr>
        <w:t>中心</w:t>
      </w:r>
      <w:r>
        <w:rPr>
          <w:rFonts w:hint="eastAsia" w:ascii="仿宋" w:hAnsi="仿宋" w:eastAsia="仿宋" w:cs="仿宋"/>
          <w:b w:val="0"/>
          <w:bCs/>
          <w:spacing w:val="2"/>
          <w:w w:val="100"/>
          <w:sz w:val="32"/>
          <w:szCs w:val="32"/>
        </w:rPr>
        <w:t>首</w:t>
      </w:r>
      <w:r>
        <w:rPr>
          <w:rFonts w:hint="eastAsia" w:ascii="仿宋" w:hAnsi="仿宋" w:eastAsia="仿宋" w:cs="仿宋"/>
          <w:b w:val="0"/>
          <w:bCs/>
          <w:w w:val="100"/>
          <w:sz w:val="32"/>
          <w:szCs w:val="32"/>
        </w:rPr>
        <w:t>页</w:t>
      </w:r>
      <w:r>
        <w:rPr>
          <w:rFonts w:hint="eastAsia" w:ascii="仿宋" w:hAnsi="仿宋" w:eastAsia="仿宋" w:cs="仿宋"/>
          <w:b w:val="0"/>
          <w:bCs/>
          <w:spacing w:val="2"/>
          <w:w w:val="100"/>
          <w:sz w:val="32"/>
          <w:szCs w:val="32"/>
        </w:rPr>
        <w:t>，</w:t>
      </w:r>
      <w:r>
        <w:rPr>
          <w:rFonts w:hint="eastAsia" w:ascii="仿宋" w:hAnsi="仿宋" w:eastAsia="仿宋" w:cs="仿宋"/>
          <w:b w:val="0"/>
          <w:bCs/>
          <w:w w:val="100"/>
          <w:sz w:val="32"/>
          <w:szCs w:val="32"/>
        </w:rPr>
        <w:t>点击</w:t>
      </w:r>
      <w:r>
        <w:rPr>
          <w:rFonts w:hint="eastAsia" w:ascii="仿宋" w:hAnsi="仿宋" w:eastAsia="仿宋" w:cs="仿宋"/>
          <w:b w:val="0"/>
          <w:bCs/>
          <w:spacing w:val="2"/>
          <w:w w:val="100"/>
          <w:sz w:val="32"/>
          <w:szCs w:val="32"/>
        </w:rPr>
        <w:t>“</w:t>
      </w:r>
      <w:r>
        <w:rPr>
          <w:rFonts w:hint="eastAsia" w:ascii="仿宋" w:hAnsi="仿宋" w:eastAsia="仿宋" w:cs="仿宋"/>
          <w:b w:val="0"/>
          <w:bCs/>
          <w:spacing w:val="2"/>
          <w:w w:val="100"/>
          <w:sz w:val="32"/>
          <w:szCs w:val="32"/>
          <w:lang w:val="en-US" w:eastAsia="zh-CN"/>
        </w:rPr>
        <w:t>培训</w:t>
      </w:r>
      <w:r>
        <w:rPr>
          <w:rFonts w:hint="eastAsia" w:ascii="仿宋" w:hAnsi="仿宋" w:eastAsia="仿宋" w:cs="仿宋"/>
          <w:b w:val="0"/>
          <w:bCs/>
          <w:spacing w:val="2"/>
          <w:w w:val="100"/>
          <w:sz w:val="32"/>
          <w:szCs w:val="32"/>
        </w:rPr>
        <w:t>学习</w:t>
      </w:r>
      <w:r>
        <w:rPr>
          <w:rFonts w:hint="eastAsia" w:ascii="仿宋" w:hAnsi="仿宋" w:eastAsia="仿宋" w:cs="仿宋"/>
          <w:b w:val="0"/>
          <w:bCs/>
          <w:spacing w:val="-142"/>
          <w:w w:val="100"/>
          <w:sz w:val="32"/>
          <w:szCs w:val="32"/>
        </w:rPr>
        <w:t>”</w:t>
      </w:r>
      <w:r>
        <w:rPr>
          <w:rFonts w:hint="eastAsia" w:ascii="仿宋" w:hAnsi="仿宋" w:eastAsia="仿宋" w:cs="仿宋"/>
          <w:b w:val="0"/>
          <w:bCs/>
          <w:spacing w:val="2"/>
          <w:w w:val="100"/>
          <w:sz w:val="32"/>
          <w:szCs w:val="32"/>
        </w:rPr>
        <w:t>，</w:t>
      </w:r>
      <w:r>
        <w:rPr>
          <w:rFonts w:hint="eastAsia" w:ascii="仿宋" w:hAnsi="仿宋" w:eastAsia="仿宋" w:cs="仿宋"/>
          <w:b w:val="0"/>
          <w:bCs/>
          <w:w w:val="100"/>
          <w:sz w:val="32"/>
          <w:szCs w:val="32"/>
        </w:rPr>
        <w:t>进入</w:t>
      </w:r>
      <w:r>
        <w:rPr>
          <w:rFonts w:hint="eastAsia" w:ascii="仿宋" w:hAnsi="仿宋" w:eastAsia="仿宋" w:cs="仿宋"/>
          <w:b w:val="0"/>
          <w:bCs/>
          <w:w w:val="100"/>
          <w:sz w:val="32"/>
          <w:szCs w:val="32"/>
          <w:lang w:val="en-US" w:eastAsia="zh-CN"/>
        </w:rPr>
        <w:t>培训计划</w:t>
      </w:r>
      <w:r>
        <w:rPr>
          <w:rFonts w:hint="eastAsia" w:ascii="仿宋" w:hAnsi="仿宋" w:eastAsia="仿宋" w:cs="仿宋"/>
          <w:b w:val="0"/>
          <w:bCs/>
          <w:w w:val="100"/>
          <w:sz w:val="32"/>
          <w:szCs w:val="32"/>
        </w:rPr>
        <w:t>页</w:t>
      </w:r>
      <w:r>
        <w:rPr>
          <w:rFonts w:hint="eastAsia" w:ascii="仿宋" w:hAnsi="仿宋" w:eastAsia="仿宋" w:cs="仿宋"/>
          <w:b w:val="0"/>
          <w:bCs/>
          <w:spacing w:val="2"/>
          <w:w w:val="100"/>
          <w:sz w:val="32"/>
          <w:szCs w:val="32"/>
        </w:rPr>
        <w:t>面</w:t>
      </w:r>
      <w:r>
        <w:rPr>
          <w:rFonts w:hint="eastAsia" w:ascii="仿宋" w:hAnsi="仿宋" w:eastAsia="仿宋" w:cs="仿宋"/>
          <w:b w:val="0"/>
          <w:bCs/>
          <w:w w:val="100"/>
          <w:sz w:val="32"/>
          <w:szCs w:val="32"/>
        </w:rPr>
        <w:t>，找</w:t>
      </w:r>
      <w:r>
        <w:rPr>
          <w:rFonts w:hint="eastAsia" w:ascii="仿宋" w:hAnsi="仿宋" w:eastAsia="仿宋" w:cs="仿宋"/>
          <w:b w:val="0"/>
          <w:bCs/>
          <w:spacing w:val="2"/>
          <w:w w:val="100"/>
          <w:sz w:val="32"/>
          <w:szCs w:val="32"/>
        </w:rPr>
        <w:t>到</w:t>
      </w:r>
      <w:r>
        <w:rPr>
          <w:rFonts w:hint="eastAsia" w:ascii="仿宋" w:hAnsi="仿宋" w:eastAsia="仿宋" w:cs="仿宋"/>
          <w:b w:val="0"/>
          <w:bCs/>
          <w:w w:val="100"/>
          <w:sz w:val="32"/>
          <w:szCs w:val="32"/>
        </w:rPr>
        <w:t>想学</w:t>
      </w:r>
      <w:r>
        <w:rPr>
          <w:rFonts w:hint="eastAsia" w:ascii="仿宋" w:hAnsi="仿宋" w:eastAsia="仿宋" w:cs="仿宋"/>
          <w:b w:val="0"/>
          <w:bCs/>
          <w:spacing w:val="2"/>
          <w:w w:val="100"/>
          <w:sz w:val="32"/>
          <w:szCs w:val="32"/>
        </w:rPr>
        <w:t>习</w:t>
      </w:r>
      <w:r>
        <w:rPr>
          <w:rFonts w:hint="eastAsia" w:ascii="仿宋" w:hAnsi="仿宋" w:eastAsia="仿宋" w:cs="仿宋"/>
          <w:b w:val="0"/>
          <w:bCs/>
          <w:w w:val="100"/>
          <w:sz w:val="32"/>
          <w:szCs w:val="32"/>
        </w:rPr>
        <w:t>的</w:t>
      </w:r>
      <w:r>
        <w:rPr>
          <w:rFonts w:hint="eastAsia" w:ascii="仿宋" w:hAnsi="仿宋" w:eastAsia="仿宋" w:cs="仿宋"/>
          <w:b w:val="0"/>
          <w:bCs/>
          <w:w w:val="100"/>
          <w:sz w:val="32"/>
          <w:szCs w:val="32"/>
          <w:lang w:val="en-US" w:eastAsia="zh-CN"/>
        </w:rPr>
        <w:t>培训计划</w:t>
      </w:r>
      <w:r>
        <w:rPr>
          <w:rFonts w:hint="eastAsia" w:ascii="仿宋" w:hAnsi="仿宋" w:eastAsia="仿宋" w:cs="仿宋"/>
          <w:b w:val="0"/>
          <w:bCs/>
          <w:w w:val="100"/>
          <w:sz w:val="32"/>
          <w:szCs w:val="32"/>
        </w:rPr>
        <w:t>，</w:t>
      </w:r>
      <w:r>
        <w:rPr>
          <w:rFonts w:hint="eastAsia" w:ascii="仿宋" w:hAnsi="仿宋" w:eastAsia="仿宋" w:cs="仿宋"/>
          <w:b w:val="0"/>
          <w:bCs/>
          <w:spacing w:val="2"/>
          <w:w w:val="100"/>
          <w:sz w:val="32"/>
          <w:szCs w:val="32"/>
        </w:rPr>
        <w:t>点</w:t>
      </w:r>
      <w:r>
        <w:rPr>
          <w:rFonts w:hint="eastAsia" w:ascii="仿宋" w:hAnsi="仿宋" w:eastAsia="仿宋" w:cs="仿宋"/>
          <w:b w:val="0"/>
          <w:bCs/>
          <w:w w:val="100"/>
          <w:sz w:val="32"/>
          <w:szCs w:val="32"/>
        </w:rPr>
        <w:t>击“</w:t>
      </w:r>
      <w:r>
        <w:rPr>
          <w:rFonts w:hint="eastAsia" w:ascii="仿宋" w:hAnsi="仿宋" w:eastAsia="仿宋" w:cs="仿宋"/>
          <w:b w:val="0"/>
          <w:bCs/>
          <w:spacing w:val="2"/>
          <w:w w:val="100"/>
          <w:sz w:val="32"/>
          <w:szCs w:val="32"/>
        </w:rPr>
        <w:t>立</w:t>
      </w:r>
      <w:r>
        <w:rPr>
          <w:rFonts w:hint="eastAsia" w:ascii="仿宋" w:hAnsi="仿宋" w:eastAsia="仿宋" w:cs="仿宋"/>
          <w:b w:val="0"/>
          <w:bCs/>
          <w:w w:val="100"/>
          <w:sz w:val="32"/>
          <w:szCs w:val="32"/>
        </w:rPr>
        <w:t>即</w:t>
      </w:r>
      <w:r>
        <w:rPr>
          <w:rFonts w:hint="eastAsia" w:ascii="仿宋" w:hAnsi="仿宋" w:eastAsia="仿宋" w:cs="仿宋"/>
          <w:b w:val="0"/>
          <w:bCs/>
          <w:w w:val="100"/>
          <w:sz w:val="32"/>
          <w:szCs w:val="32"/>
          <w:lang w:val="en-US" w:eastAsia="zh-CN"/>
        </w:rPr>
        <w:t>查看</w:t>
      </w:r>
      <w:r>
        <w:rPr>
          <w:rFonts w:hint="eastAsia" w:ascii="仿宋" w:hAnsi="仿宋" w:eastAsia="仿宋" w:cs="仿宋"/>
          <w:b w:val="0"/>
          <w:bCs/>
          <w:spacing w:val="-140"/>
          <w:w w:val="100"/>
          <w:sz w:val="32"/>
          <w:szCs w:val="32"/>
        </w:rPr>
        <w:t>”</w:t>
      </w:r>
      <w:r>
        <w:rPr>
          <w:rFonts w:hint="eastAsia" w:ascii="仿宋" w:hAnsi="仿宋" w:eastAsia="仿宋" w:cs="仿宋"/>
          <w:b w:val="0"/>
          <w:bCs/>
          <w:w w:val="100"/>
          <w:sz w:val="32"/>
          <w:szCs w:val="32"/>
        </w:rPr>
        <w:t>，</w:t>
      </w:r>
      <w:r>
        <w:rPr>
          <w:rFonts w:hint="eastAsia" w:ascii="仿宋" w:hAnsi="仿宋" w:eastAsia="仿宋" w:cs="仿宋"/>
          <w:b w:val="0"/>
          <w:bCs/>
          <w:spacing w:val="2"/>
          <w:w w:val="100"/>
          <w:sz w:val="32"/>
          <w:szCs w:val="32"/>
        </w:rPr>
        <w:t>即</w:t>
      </w:r>
      <w:r>
        <w:rPr>
          <w:rFonts w:hint="eastAsia" w:ascii="仿宋" w:hAnsi="仿宋" w:eastAsia="仿宋" w:cs="仿宋"/>
          <w:b w:val="0"/>
          <w:bCs/>
          <w:spacing w:val="2"/>
          <w:w w:val="100"/>
          <w:sz w:val="32"/>
          <w:szCs w:val="32"/>
          <w:lang w:val="en-US" w:eastAsia="zh-CN"/>
        </w:rPr>
        <w:t>可查看培训计划内容</w:t>
      </w:r>
      <w:r>
        <w:rPr>
          <w:rFonts w:hint="eastAsia" w:ascii="仿宋" w:hAnsi="仿宋" w:eastAsia="仿宋" w:cs="仿宋"/>
          <w:b w:val="0"/>
          <w:bCs/>
          <w:w w:val="100"/>
          <w:sz w:val="32"/>
          <w:szCs w:val="32"/>
        </w:rPr>
        <w:t>，</w:t>
      </w:r>
      <w:r>
        <w:rPr>
          <w:rFonts w:hint="eastAsia" w:ascii="仿宋" w:hAnsi="仿宋" w:eastAsia="仿宋" w:cs="仿宋"/>
          <w:b w:val="0"/>
          <w:bCs/>
          <w:spacing w:val="2"/>
          <w:w w:val="100"/>
          <w:sz w:val="32"/>
          <w:szCs w:val="32"/>
        </w:rPr>
        <w:t>点</w:t>
      </w:r>
      <w:r>
        <w:rPr>
          <w:rFonts w:hint="eastAsia" w:ascii="仿宋" w:hAnsi="仿宋" w:eastAsia="仿宋" w:cs="仿宋"/>
          <w:b w:val="0"/>
          <w:bCs/>
          <w:w w:val="100"/>
          <w:sz w:val="32"/>
          <w:szCs w:val="32"/>
        </w:rPr>
        <w:t>击对</w:t>
      </w:r>
      <w:r>
        <w:rPr>
          <w:rFonts w:hint="eastAsia" w:ascii="仿宋" w:hAnsi="仿宋" w:eastAsia="仿宋" w:cs="仿宋"/>
          <w:b w:val="0"/>
          <w:bCs/>
          <w:spacing w:val="2"/>
          <w:w w:val="100"/>
          <w:sz w:val="32"/>
          <w:szCs w:val="32"/>
        </w:rPr>
        <w:t>应</w:t>
      </w:r>
      <w:r>
        <w:rPr>
          <w:rFonts w:hint="eastAsia" w:ascii="仿宋" w:hAnsi="仿宋" w:eastAsia="仿宋" w:cs="仿宋"/>
          <w:b w:val="0"/>
          <w:bCs/>
          <w:w w:val="100"/>
          <w:sz w:val="32"/>
          <w:szCs w:val="32"/>
          <w:lang w:val="en-US" w:eastAsia="zh-CN"/>
        </w:rPr>
        <w:t>培训</w:t>
      </w:r>
      <w:r>
        <w:rPr>
          <w:rFonts w:hint="eastAsia" w:ascii="仿宋" w:hAnsi="仿宋" w:eastAsia="仿宋" w:cs="仿宋"/>
          <w:b w:val="0"/>
          <w:bCs/>
          <w:w w:val="100"/>
          <w:sz w:val="32"/>
          <w:szCs w:val="32"/>
        </w:rPr>
        <w:t>内容</w:t>
      </w:r>
      <w:r>
        <w:rPr>
          <w:rFonts w:hint="eastAsia" w:ascii="仿宋" w:hAnsi="仿宋" w:eastAsia="仿宋" w:cs="仿宋"/>
          <w:b w:val="0"/>
          <w:bCs/>
          <w:w w:val="100"/>
          <w:sz w:val="32"/>
          <w:szCs w:val="32"/>
          <w:lang w:val="en-US" w:eastAsia="zh-CN"/>
        </w:rPr>
        <w:t>学习即可</w:t>
      </w:r>
      <w:r>
        <w:rPr>
          <w:rFonts w:hint="eastAsia" w:ascii="仿宋" w:hAnsi="仿宋" w:eastAsia="仿宋" w:cs="仿宋"/>
          <w:b w:val="0"/>
          <w:bCs/>
          <w:w w:val="100"/>
          <w:sz w:val="32"/>
          <w:szCs w:val="32"/>
        </w:rPr>
        <w:t>。</w:t>
      </w:r>
    </w:p>
    <w:p>
      <w:pPr>
        <w:pStyle w:val="3"/>
        <w:spacing w:line="408" w:lineRule="auto"/>
        <w:ind w:left="120" w:right="111" w:firstLine="559"/>
        <w:jc w:val="both"/>
        <w:rPr>
          <w:w w:val="100"/>
        </w:rPr>
      </w:pPr>
    </w:p>
    <w:p>
      <w:pPr>
        <w:pStyle w:val="3"/>
        <w:spacing w:line="408" w:lineRule="auto"/>
        <w:ind w:right="111"/>
        <w:jc w:val="both"/>
      </w:pPr>
      <w:r>
        <w:drawing>
          <wp:inline distT="0" distB="0" distL="114300" distR="114300">
            <wp:extent cx="5261610" cy="2430780"/>
            <wp:effectExtent l="0" t="0" r="1524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61610" cy="2430780"/>
                    </a:xfrm>
                    <a:prstGeom prst="rect">
                      <a:avLst/>
                    </a:prstGeom>
                    <a:noFill/>
                    <a:ln>
                      <a:noFill/>
                    </a:ln>
                  </pic:spPr>
                </pic:pic>
              </a:graphicData>
            </a:graphic>
          </wp:inline>
        </w:drawing>
      </w:r>
    </w:p>
    <w:p>
      <w:pPr>
        <w:pStyle w:val="3"/>
        <w:spacing w:line="408" w:lineRule="auto"/>
        <w:ind w:right="111"/>
        <w:jc w:val="both"/>
      </w:pPr>
    </w:p>
    <w:p>
      <w:pPr>
        <w:pStyle w:val="3"/>
        <w:spacing w:line="408" w:lineRule="auto"/>
        <w:ind w:right="111"/>
        <w:jc w:val="both"/>
      </w:pPr>
      <w:r>
        <w:drawing>
          <wp:inline distT="0" distB="0" distL="114300" distR="114300">
            <wp:extent cx="5266690" cy="2573020"/>
            <wp:effectExtent l="0" t="0" r="10160" b="177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266690" cy="2573020"/>
                    </a:xfrm>
                    <a:prstGeom prst="rect">
                      <a:avLst/>
                    </a:prstGeom>
                    <a:noFill/>
                    <a:ln>
                      <a:noFill/>
                    </a:ln>
                  </pic:spPr>
                </pic:pic>
              </a:graphicData>
            </a:graphic>
          </wp:inline>
        </w:drawing>
      </w:r>
    </w:p>
    <w:p>
      <w:pPr>
        <w:pStyle w:val="3"/>
        <w:spacing w:before="1"/>
        <w:rPr>
          <w:rFonts w:ascii="Times New Roman"/>
          <w:sz w:val="43"/>
        </w:rPr>
      </w:pPr>
    </w:p>
    <w:p>
      <w:pPr>
        <w:pStyle w:val="3"/>
        <w:spacing w:line="408" w:lineRule="auto"/>
        <w:ind w:right="111"/>
        <w:jc w:val="both"/>
        <w:rPr>
          <w:rFonts w:ascii="Times New Roman"/>
          <w:sz w:val="20"/>
        </w:rPr>
      </w:pP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VjNWE3NDZmMzZhZjUwNmE1NjI1ZGU0OGQyZmUifQ=="/>
  </w:docVars>
  <w:rsids>
    <w:rsidRoot w:val="00000000"/>
    <w:rsid w:val="06530982"/>
    <w:rsid w:val="082E1516"/>
    <w:rsid w:val="08F94115"/>
    <w:rsid w:val="09AA4D5C"/>
    <w:rsid w:val="09DC3E61"/>
    <w:rsid w:val="0B613697"/>
    <w:rsid w:val="0CBE467B"/>
    <w:rsid w:val="0F0772F5"/>
    <w:rsid w:val="0FDF7B54"/>
    <w:rsid w:val="188B4D76"/>
    <w:rsid w:val="1AAB623F"/>
    <w:rsid w:val="1B0D2498"/>
    <w:rsid w:val="1B177D78"/>
    <w:rsid w:val="24174945"/>
    <w:rsid w:val="24E12DB9"/>
    <w:rsid w:val="24FA2FC4"/>
    <w:rsid w:val="258204E4"/>
    <w:rsid w:val="2629479A"/>
    <w:rsid w:val="26EC722F"/>
    <w:rsid w:val="27806720"/>
    <w:rsid w:val="27B619CF"/>
    <w:rsid w:val="28062442"/>
    <w:rsid w:val="2A0E3E53"/>
    <w:rsid w:val="30395C43"/>
    <w:rsid w:val="31644F41"/>
    <w:rsid w:val="32D21971"/>
    <w:rsid w:val="333451D9"/>
    <w:rsid w:val="345474EF"/>
    <w:rsid w:val="34F211E2"/>
    <w:rsid w:val="35F63E12"/>
    <w:rsid w:val="3ED109B0"/>
    <w:rsid w:val="407F3B46"/>
    <w:rsid w:val="423746D8"/>
    <w:rsid w:val="4B503C29"/>
    <w:rsid w:val="4C4113F3"/>
    <w:rsid w:val="51CB6BEB"/>
    <w:rsid w:val="53D84585"/>
    <w:rsid w:val="54E3424B"/>
    <w:rsid w:val="558C7FBA"/>
    <w:rsid w:val="5C71213D"/>
    <w:rsid w:val="5D83481E"/>
    <w:rsid w:val="5F4F0E5B"/>
    <w:rsid w:val="5F9A19AB"/>
    <w:rsid w:val="60733FC4"/>
    <w:rsid w:val="61BE4076"/>
    <w:rsid w:val="61CD6067"/>
    <w:rsid w:val="62957E19"/>
    <w:rsid w:val="62AE2630"/>
    <w:rsid w:val="62CE263C"/>
    <w:rsid w:val="63021D41"/>
    <w:rsid w:val="6D805E41"/>
    <w:rsid w:val="75FF5E57"/>
    <w:rsid w:val="7621477C"/>
    <w:rsid w:val="76587B33"/>
    <w:rsid w:val="7B0F3E7D"/>
    <w:rsid w:val="7D43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1534</Words>
  <Characters>1681</Characters>
  <Lines>0</Lines>
  <Paragraphs>0</Paragraphs>
  <TotalTime>4</TotalTime>
  <ScaleCrop>false</ScaleCrop>
  <LinksUpToDate>false</LinksUpToDate>
  <CharactersWithSpaces>1708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2024-04-22T03:23:00Z</dcterms:created>
  <dc:creator>97828</dc:creator>
  <cp:lastModifiedBy>茉莉TST庭秘密护肤品</cp:lastModifiedBy>
  <dcterms:modified xsi:type="dcterms:W3CDTF">2024-06-13T07:05:49Z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C71C6899BF45455DAFDC534EBCDA5F9C_13</vt:lpwstr>
  </property>
</Properties>
</file>